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975" w:rsidRPr="00221EB4" w:rsidRDefault="00B05975" w:rsidP="00B05975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bookmarkStart w:id="0" w:name="_GoBack"/>
      <w:bookmarkEnd w:id="0"/>
      <w:r w:rsidRPr="00221EB4">
        <w:rPr>
          <w:rFonts w:ascii="Times New Roman" w:hAnsi="Times New Roman"/>
          <w:b/>
          <w:sz w:val="24"/>
          <w:szCs w:val="24"/>
          <w:lang w:eastAsia="ar-SA"/>
        </w:rPr>
        <w:t>Муниципальная программа</w:t>
      </w:r>
    </w:p>
    <w:p w:rsidR="00B05975" w:rsidRPr="00221EB4" w:rsidRDefault="00B05975" w:rsidP="00B05975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221EB4">
        <w:rPr>
          <w:rFonts w:ascii="Times New Roman" w:hAnsi="Times New Roman"/>
          <w:b/>
          <w:sz w:val="24"/>
          <w:szCs w:val="24"/>
          <w:lang w:eastAsia="ar-SA"/>
        </w:rPr>
        <w:t xml:space="preserve"> «Развитие системы образования Парабельского района»</w:t>
      </w:r>
    </w:p>
    <w:p w:rsidR="00B05975" w:rsidRPr="00221EB4" w:rsidRDefault="00B05975" w:rsidP="00B05975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B05975" w:rsidRPr="00221EB4" w:rsidRDefault="00B05975" w:rsidP="00B05975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221EB4">
        <w:rPr>
          <w:rFonts w:ascii="Times New Roman" w:hAnsi="Times New Roman"/>
          <w:sz w:val="24"/>
          <w:szCs w:val="24"/>
          <w:lang w:eastAsia="ar-SA"/>
        </w:rPr>
        <w:t xml:space="preserve">Паспорт программы </w:t>
      </w:r>
    </w:p>
    <w:p w:rsidR="00B05975" w:rsidRPr="00221EB4" w:rsidRDefault="00B05975" w:rsidP="00B05975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0"/>
        <w:gridCol w:w="6521"/>
        <w:gridCol w:w="1843"/>
        <w:gridCol w:w="1701"/>
        <w:gridCol w:w="1701"/>
        <w:gridCol w:w="1275"/>
      </w:tblGrid>
      <w:tr w:rsidR="00B05975" w:rsidRPr="00EB1F71" w:rsidTr="00B8618A">
        <w:tc>
          <w:tcPr>
            <w:tcW w:w="2410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Наименование программы</w:t>
            </w:r>
          </w:p>
        </w:tc>
        <w:tc>
          <w:tcPr>
            <w:tcW w:w="13041" w:type="dxa"/>
            <w:gridSpan w:val="5"/>
          </w:tcPr>
          <w:p w:rsidR="00B05975" w:rsidRPr="00EB1F71" w:rsidRDefault="00B05975" w:rsidP="00EB1F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Муниципальная программа</w:t>
            </w:r>
          </w:p>
          <w:p w:rsidR="00B05975" w:rsidRPr="00EB1F71" w:rsidRDefault="00B05975" w:rsidP="00EB1F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«Развитие системы образования Парабельского района»</w:t>
            </w:r>
          </w:p>
          <w:p w:rsidR="00B05975" w:rsidRPr="00EB1F71" w:rsidRDefault="00B05975" w:rsidP="00EB1F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(далее - муниципальная программа)</w:t>
            </w:r>
          </w:p>
        </w:tc>
      </w:tr>
      <w:tr w:rsidR="00B05975" w:rsidRPr="00EB1F71" w:rsidTr="00B8618A">
        <w:tc>
          <w:tcPr>
            <w:tcW w:w="2410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Нормативные основания для разработки программы</w:t>
            </w:r>
          </w:p>
        </w:tc>
        <w:tc>
          <w:tcPr>
            <w:tcW w:w="13041" w:type="dxa"/>
            <w:gridSpan w:val="5"/>
          </w:tcPr>
          <w:p w:rsidR="00B05975" w:rsidRPr="00EB1F71" w:rsidRDefault="00B05975" w:rsidP="00EB1F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Федеральный закон от 29 декабря 2012 года N 273-ФЗ "Об образовании в Российской Федерации"</w:t>
            </w:r>
          </w:p>
          <w:p w:rsidR="00B05975" w:rsidRPr="00EB1F71" w:rsidRDefault="00B05975" w:rsidP="00EB1F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Постановление Администрации Томской области от 30.10.2014 № 413а «Об утверждении государственной программы «Развитие образования в Томской области»»</w:t>
            </w:r>
          </w:p>
          <w:p w:rsidR="00B05975" w:rsidRPr="00EB1F71" w:rsidRDefault="00B05975" w:rsidP="00EB1F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Постановление Администрации Парабельского района от 29.04.2015 № 341а «Об утверждении Порядка принятия решений о разработке муниципальных программ Парабельского района, их формирования и реализации, а так же проведения и критерии оценки эффективности их реализации»</w:t>
            </w:r>
          </w:p>
        </w:tc>
      </w:tr>
      <w:tr w:rsidR="00B05975" w:rsidRPr="00EB1F71" w:rsidTr="00B8618A">
        <w:tc>
          <w:tcPr>
            <w:tcW w:w="2410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Ответственный исполнитель программы</w:t>
            </w:r>
          </w:p>
        </w:tc>
        <w:tc>
          <w:tcPr>
            <w:tcW w:w="13041" w:type="dxa"/>
            <w:gridSpan w:val="5"/>
          </w:tcPr>
          <w:p w:rsidR="00B05975" w:rsidRPr="00EB1F71" w:rsidRDefault="00B05975" w:rsidP="00EB1F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Муниципальное казенное учреждение Отдел образования Администрации Парабельского района (далее - Отдел образования)</w:t>
            </w:r>
          </w:p>
        </w:tc>
      </w:tr>
      <w:tr w:rsidR="00B05975" w:rsidRPr="00EB1F71" w:rsidTr="00B8618A">
        <w:tc>
          <w:tcPr>
            <w:tcW w:w="2410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Соисполнители программы</w:t>
            </w:r>
          </w:p>
        </w:tc>
        <w:tc>
          <w:tcPr>
            <w:tcW w:w="13041" w:type="dxa"/>
            <w:gridSpan w:val="5"/>
          </w:tcPr>
          <w:p w:rsidR="00B05975" w:rsidRPr="00EB1F71" w:rsidRDefault="00B05975" w:rsidP="00EB1F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Муниципальное казенное учреждение Отдел образования Администрации Парабельского района</w:t>
            </w:r>
          </w:p>
          <w:p w:rsidR="00B05975" w:rsidRPr="00EB1F71" w:rsidRDefault="00B05975" w:rsidP="00EB1F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Образовательные организации Парабельского района</w:t>
            </w:r>
          </w:p>
          <w:p w:rsidR="00B05975" w:rsidRPr="00EB1F71" w:rsidRDefault="00B05975" w:rsidP="00EB1F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Муниципальное казенное учреждение Администрация Парабельского района (далее - Администрация Парабельского района)</w:t>
            </w:r>
          </w:p>
          <w:p w:rsidR="00B05975" w:rsidRPr="00EB1F71" w:rsidRDefault="00B05975" w:rsidP="00EB1F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Муниципальное казенное учреждение Комитет по управлению муниципальным имуществом Парабельского района (далее - КУМИ)</w:t>
            </w:r>
          </w:p>
        </w:tc>
      </w:tr>
      <w:tr w:rsidR="00B05975" w:rsidRPr="00EB1F71" w:rsidTr="00B8618A">
        <w:tc>
          <w:tcPr>
            <w:tcW w:w="2410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Цель программы</w:t>
            </w:r>
          </w:p>
        </w:tc>
        <w:tc>
          <w:tcPr>
            <w:tcW w:w="13041" w:type="dxa"/>
            <w:gridSpan w:val="5"/>
          </w:tcPr>
          <w:p w:rsidR="00B05975" w:rsidRPr="00EB1F71" w:rsidRDefault="00B05975" w:rsidP="00EB1F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Комплексное и эффективное развитие муниципальной системы образования, обеспечивающее повышение качества образования, посредством создания современных, доступных, безопасных условий образовательного процесса, развития инфраструктуры системы образования</w:t>
            </w:r>
          </w:p>
        </w:tc>
      </w:tr>
      <w:tr w:rsidR="00EB1F71" w:rsidRPr="00EB1F71" w:rsidTr="00B8618A">
        <w:trPr>
          <w:trHeight w:val="275"/>
        </w:trPr>
        <w:tc>
          <w:tcPr>
            <w:tcW w:w="2410" w:type="dxa"/>
            <w:vMerge w:val="restart"/>
          </w:tcPr>
          <w:p w:rsidR="00EB1F71" w:rsidRPr="00EB1F71" w:rsidRDefault="00EB1F71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Показатели цели муниципальной программы и их значения</w:t>
            </w:r>
          </w:p>
        </w:tc>
        <w:tc>
          <w:tcPr>
            <w:tcW w:w="8364" w:type="dxa"/>
            <w:gridSpan w:val="2"/>
          </w:tcPr>
          <w:p w:rsidR="00EB1F71" w:rsidRPr="00EB1F71" w:rsidRDefault="00EB1F71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Показатели цели</w:t>
            </w:r>
          </w:p>
        </w:tc>
        <w:tc>
          <w:tcPr>
            <w:tcW w:w="1701" w:type="dxa"/>
          </w:tcPr>
          <w:p w:rsidR="00EB1F71" w:rsidRPr="00EB1F71" w:rsidRDefault="00EB1F71" w:rsidP="00EB1F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701" w:type="dxa"/>
          </w:tcPr>
          <w:p w:rsidR="00EB1F71" w:rsidRPr="00EB1F71" w:rsidRDefault="00EB1F71" w:rsidP="00EB1F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275" w:type="dxa"/>
          </w:tcPr>
          <w:p w:rsidR="00EB1F71" w:rsidRPr="00EB1F71" w:rsidRDefault="00EB1F71" w:rsidP="00EB1F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Уровень удовлетворённости населения Парабельского района качеством предоставляемых услуг (на основе анкетирования населения и данных проводимых социологических опросов населения)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70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Функционирование образовательных организаций в соответствии с действующим законодательством Российской Федерации в сфере образования, %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B05975" w:rsidRPr="00EB1F71" w:rsidTr="00B8618A">
        <w:trPr>
          <w:trHeight w:val="2825"/>
        </w:trPr>
        <w:tc>
          <w:tcPr>
            <w:tcW w:w="2410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Задачи муниципальной программы</w:t>
            </w:r>
          </w:p>
        </w:tc>
        <w:tc>
          <w:tcPr>
            <w:tcW w:w="13041" w:type="dxa"/>
            <w:gridSpan w:val="5"/>
          </w:tcPr>
          <w:p w:rsidR="00B05975" w:rsidRPr="00EB1F71" w:rsidRDefault="00B05975" w:rsidP="00EB1F71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Обеспечение доступного качественного дошкольного образования;</w:t>
            </w:r>
          </w:p>
          <w:p w:rsidR="00B05975" w:rsidRPr="00EB1F71" w:rsidRDefault="00B05975" w:rsidP="00EB1F71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Обеспечение доступного качественного начального общего, основного общего, среднего общего образования;</w:t>
            </w:r>
          </w:p>
          <w:p w:rsidR="00B05975" w:rsidRPr="00EB1F71" w:rsidRDefault="00B05975" w:rsidP="00EB1F71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Обеспечение доступного качественного дополнительного образования, развитие системы воспитания детей;</w:t>
            </w:r>
          </w:p>
          <w:p w:rsidR="00B05975" w:rsidRPr="00EB1F71" w:rsidRDefault="00B05975" w:rsidP="00EB1F71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Обеспечение доступных для всех категорий населения и безопасных условий образовательного процесса;</w:t>
            </w:r>
          </w:p>
          <w:p w:rsidR="00B05975" w:rsidRPr="00EB1F71" w:rsidRDefault="00B05975" w:rsidP="00EB1F71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условий образовательного процесса, соответствующих современным требованиям;</w:t>
            </w:r>
          </w:p>
          <w:p w:rsidR="00B05975" w:rsidRPr="00EB1F71" w:rsidRDefault="00B05975" w:rsidP="00EB1F71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защиты интересов законных прав несовершеннолетних детей, в том числе детей-сирот и детей, оставшихся без попечения родителей, а также лиц из числа недееспособных граждан;</w:t>
            </w:r>
          </w:p>
          <w:p w:rsidR="00B05975" w:rsidRPr="00EB1F71" w:rsidRDefault="00B05975" w:rsidP="00EB1F71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условий для укрепления здоровья и полноценного питания обучающихся;</w:t>
            </w:r>
          </w:p>
          <w:p w:rsidR="00B05975" w:rsidRPr="00EB1F71" w:rsidRDefault="00B05975" w:rsidP="00EB1F71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системы образования Парабельского района квалифицированными кадрами.</w:t>
            </w:r>
          </w:p>
          <w:p w:rsidR="00B05975" w:rsidRPr="00EB1F71" w:rsidRDefault="00B05975" w:rsidP="00EB1F71">
            <w:pPr>
              <w:tabs>
                <w:tab w:val="left" w:pos="317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1F71">
              <w:rPr>
                <w:rFonts w:ascii="Times New Roman" w:hAnsi="Times New Roman"/>
                <w:sz w:val="24"/>
                <w:szCs w:val="24"/>
              </w:rPr>
              <w:t>Обеспечение условий выполнения Программы</w:t>
            </w:r>
          </w:p>
        </w:tc>
      </w:tr>
      <w:tr w:rsidR="00EB1F71" w:rsidRPr="00EB1F71" w:rsidTr="00B8618A">
        <w:trPr>
          <w:trHeight w:val="128"/>
        </w:trPr>
        <w:tc>
          <w:tcPr>
            <w:tcW w:w="2410" w:type="dxa"/>
            <w:vMerge w:val="restart"/>
          </w:tcPr>
          <w:p w:rsidR="00EB1F71" w:rsidRPr="00EB1F71" w:rsidRDefault="00EB1F71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Показатели задач муниципальной программы и их значения</w:t>
            </w:r>
          </w:p>
        </w:tc>
        <w:tc>
          <w:tcPr>
            <w:tcW w:w="8364" w:type="dxa"/>
            <w:gridSpan w:val="2"/>
          </w:tcPr>
          <w:p w:rsidR="00EB1F71" w:rsidRPr="00EB1F71" w:rsidRDefault="00EB1F71" w:rsidP="00EB1F71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Показатели задач</w:t>
            </w:r>
          </w:p>
        </w:tc>
        <w:tc>
          <w:tcPr>
            <w:tcW w:w="1701" w:type="dxa"/>
          </w:tcPr>
          <w:p w:rsidR="00EB1F71" w:rsidRPr="00EB1F71" w:rsidRDefault="00EB1F71" w:rsidP="00EB1F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701" w:type="dxa"/>
          </w:tcPr>
          <w:p w:rsidR="00EB1F71" w:rsidRPr="00EB1F71" w:rsidRDefault="00EB1F71" w:rsidP="00EB1F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275" w:type="dxa"/>
          </w:tcPr>
          <w:p w:rsidR="00EB1F71" w:rsidRPr="00EB1F71" w:rsidRDefault="00EB1F71" w:rsidP="00EB1F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041" w:type="dxa"/>
            <w:gridSpan w:val="5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Задача 1. Обеспечение доступного качественного дошкольного образования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Доля детей, охваченная дошкольным образованием в возрасте 1,5 - 7 лет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80,0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80,0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80,0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Доля детей, охваченная дошкольным образованием в возрасте от 2 мес. до 1,5 лет, %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Доля образовательных организаций, предоставляющих услуги дошкольного образования соответствующих ФГОС ДО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041" w:type="dxa"/>
            <w:gridSpan w:val="5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Задача 2. Обеспечение доступного качественного начального общего, основного общего, среднего общего образования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Доля выпускников муниципальных общеобразовательных организаций, не сдавших единый государственный экзамен (далее - ЕГЭ), в общей численности выпускников муниципальных общеобразовательных организаций, %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Охват детей школьного возраста, проживающих на территории Парабельского района, образовательными услугами.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Уровень качества </w:t>
            </w:r>
            <w:proofErr w:type="spellStart"/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образования,%</w:t>
            </w:r>
            <w:proofErr w:type="spellEnd"/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42,5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42,7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43,0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Уровень успешности образования, %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99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99,2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99,3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041" w:type="dxa"/>
            <w:gridSpan w:val="5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Задача 3. Обеспечение доступного качественного дополнительного образования, развитие системы воспитания детей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Доля детей, охваченных образовательными программами дополнительного образования детей, в общей численности детей и молодежи 5 - 18 лет, %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76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Доля обучающихся в образовательных организациях, принявших участие в мероприятиях муниципального уровня, от их общего количества, %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80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</w:t>
            </w: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бюджетных средств, %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100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финансирования, %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не менее 5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не менее 5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не менее</w:t>
            </w:r>
          </w:p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5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041" w:type="dxa"/>
            <w:gridSpan w:val="5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Задача 4. Обеспечение доступных для всех категорий населения и безопасных условий образовательного процесса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Доля образовательных организаций, соответствующих требованиям всех видов безопасности, от общего количества образовательных организаций, %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87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Доля образовательных организаций, обеспечивающих в полном объеме доступность объектов и услуг, от общего количества образовательных организаций, %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33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041" w:type="dxa"/>
            <w:gridSpan w:val="5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Задача 5.</w:t>
            </w:r>
            <w:r w:rsidRPr="00EB1F7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Обеспечение условий образовательного процесса, соответствующих современным требованиям</w:t>
            </w:r>
          </w:p>
        </w:tc>
      </w:tr>
      <w:tr w:rsidR="00B05975" w:rsidRPr="00EB1F71" w:rsidTr="00B8618A">
        <w:trPr>
          <w:trHeight w:val="690"/>
        </w:trPr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Доля образовательных организаций, организация образовательного процесса в которых полностью соответствует современным </w:t>
            </w:r>
            <w:proofErr w:type="spellStart"/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требованиям,%</w:t>
            </w:r>
            <w:proofErr w:type="spellEnd"/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87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041" w:type="dxa"/>
            <w:gridSpan w:val="5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Задача 6.</w:t>
            </w:r>
            <w:r w:rsidRPr="00EB1F7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Обеспечение защиты интересов законных прав несовершеннолетних детей, в том числе детей-сирот и детей, оставшихся без попечения родителей, а так же лиц из числа недееспособных граждан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Обеспечение  семейного жизнеустройства детей-сирот и детей, оставшихся без попечения </w:t>
            </w:r>
            <w:proofErr w:type="spellStart"/>
            <w:r w:rsidRPr="00EB1F71">
              <w:rPr>
                <w:rFonts w:ascii="Times New Roman" w:hAnsi="Times New Roman"/>
                <w:sz w:val="24"/>
                <w:szCs w:val="24"/>
                <w:lang w:eastAsia="ru-RU"/>
              </w:rPr>
              <w:t>родителей,%</w:t>
            </w:r>
            <w:proofErr w:type="spellEnd"/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88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92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Обеспечение жилыми помещениями лиц из числа </w:t>
            </w:r>
            <w:r w:rsidRPr="00EB1F71">
              <w:rPr>
                <w:rFonts w:ascii="Times New Roman" w:hAnsi="Times New Roman"/>
                <w:sz w:val="24"/>
                <w:szCs w:val="24"/>
                <w:lang w:eastAsia="ru-RU"/>
              </w:rPr>
              <w:t>детей-сирот и детей, оставшихся без попечения родителей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</w:tr>
      <w:tr w:rsidR="00B05975" w:rsidRPr="00EB1F71" w:rsidTr="00B8618A">
        <w:trPr>
          <w:trHeight w:val="227"/>
        </w:trPr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041" w:type="dxa"/>
            <w:gridSpan w:val="5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Задача 7.</w:t>
            </w:r>
            <w:r w:rsidRPr="00EB1F7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Создание условий для укрепления здоровья и полноценного питания обучающихся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Доля школьников, охваченных различными формами отдыха, оздоровления и занятости, %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62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Охват обучающихся школ горячим питанием, %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99,0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99,2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99,3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Доля детей, имеющих первую и вторую группу здоровья, %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73,5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74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041" w:type="dxa"/>
            <w:gridSpan w:val="5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Задача 8.</w:t>
            </w:r>
            <w:r w:rsidRPr="00EB1F7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Обеспечение системы образования Парабельского района квалифицированными кадрами</w:t>
            </w:r>
          </w:p>
        </w:tc>
      </w:tr>
      <w:tr w:rsidR="00B05975" w:rsidRPr="00EB1F71" w:rsidTr="00B8618A">
        <w:trPr>
          <w:trHeight w:val="273"/>
        </w:trPr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Доля педагогических работников системы образования, имеющих квалификационную категорию, %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33%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34%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35%</w:t>
            </w:r>
          </w:p>
        </w:tc>
      </w:tr>
      <w:tr w:rsidR="00B05975" w:rsidRPr="00EB1F71" w:rsidTr="00B8618A">
        <w:trPr>
          <w:trHeight w:val="202"/>
        </w:trPr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Доля педагогических работников, прошедших курсы повышения квалификации (переподготовку) в объеме не менее 80 часов в течение трех лет, %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50%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51%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52%</w:t>
            </w:r>
          </w:p>
        </w:tc>
      </w:tr>
      <w:tr w:rsidR="00B05975" w:rsidRPr="00EB1F71" w:rsidTr="00B8618A">
        <w:trPr>
          <w:trHeight w:val="202"/>
        </w:trPr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Более 5 процентов педагогических работников системы общего, дополнительного, из них не менее 5 процентов учителей общеобразовательных организаций, повысили уровень профессионального мастерства в форматах непрерывного образования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</w:tr>
      <w:tr w:rsidR="00B05975" w:rsidRPr="00EB1F71" w:rsidTr="00B8618A">
        <w:trPr>
          <w:trHeight w:val="600"/>
        </w:trPr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spacing w:after="120" w:line="240" w:lineRule="auto"/>
              <w:ind w:right="-57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Доля педагогических работников в возрасте до 35 лет, вовлеченных в различные формы поддержки и сопровождения в первые три года работы 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50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Доля учителей общеобразовательных организаций, вовлеченных в национальную систему профессионального роста, %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1F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Доля педагогических работников Томской области, прошедших добровольную независимую оценку профессиональной квалификации, %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B05975" w:rsidRPr="00EB1F71" w:rsidTr="00B8618A">
        <w:tc>
          <w:tcPr>
            <w:tcW w:w="2410" w:type="dxa"/>
            <w:vMerge w:val="restart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041" w:type="dxa"/>
            <w:gridSpan w:val="5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Задача 9. Обеспечение условий выполнения  Программы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4" w:type="dxa"/>
            <w:gridSpan w:val="2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Достижение установленных показателей исполнения задач программы, %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99</w:t>
            </w:r>
          </w:p>
        </w:tc>
      </w:tr>
      <w:tr w:rsidR="00B05975" w:rsidRPr="00EB1F71" w:rsidTr="00B8618A">
        <w:tc>
          <w:tcPr>
            <w:tcW w:w="2410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Подпрограммы муниципальной программы</w:t>
            </w:r>
          </w:p>
        </w:tc>
        <w:tc>
          <w:tcPr>
            <w:tcW w:w="13041" w:type="dxa"/>
            <w:gridSpan w:val="5"/>
          </w:tcPr>
          <w:p w:rsidR="00B05975" w:rsidRPr="00EB1F71" w:rsidRDefault="00B05975" w:rsidP="00EB1F71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«Развитие дошкольного образования» (Приложение № 1 к муниципальной программе);</w:t>
            </w:r>
          </w:p>
          <w:p w:rsidR="00B05975" w:rsidRPr="00EB1F71" w:rsidRDefault="00B05975" w:rsidP="00EB1F71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«Развитие начального общего, основного общего, среднего общего образования» (Приложение № 2 к муниципальной программе);</w:t>
            </w:r>
          </w:p>
          <w:p w:rsidR="00B05975" w:rsidRPr="00EB1F71" w:rsidRDefault="00B05975" w:rsidP="00EB1F71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«Развитие системы воспитания и дополнительного образования» (Приложение № 3 к муниципальной программе);</w:t>
            </w:r>
          </w:p>
          <w:p w:rsidR="00B05975" w:rsidRPr="00EB1F71" w:rsidRDefault="00B05975" w:rsidP="00EB1F71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«Создание доступных для всех категорий населения и безопасных условий образовательного процесса» (Приложение № 4 к муниципальной программе);</w:t>
            </w:r>
          </w:p>
          <w:p w:rsidR="00B05975" w:rsidRPr="00EB1F71" w:rsidRDefault="00B05975" w:rsidP="00EB1F71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«Развитие инфраструктуры системы образования» (Приложение № 5 к муниципальной программе).</w:t>
            </w:r>
          </w:p>
          <w:p w:rsidR="00B05975" w:rsidRPr="00EB1F71" w:rsidRDefault="00B05975" w:rsidP="00EB1F71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«Развитие полномочий по организации и осуществлению деятельности по опеке и попечительству» (Приложение № 6 к муниципальной программе).</w:t>
            </w:r>
          </w:p>
          <w:p w:rsidR="00B05975" w:rsidRPr="00EB1F71" w:rsidRDefault="00B05975" w:rsidP="00EB1F71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«Сохранение и укрепление здоровья обучающихся и воспитанников образовательных организаций Парабельского района» (Приложение № 7 к муниципальной программе).</w:t>
            </w:r>
          </w:p>
          <w:p w:rsidR="00B05975" w:rsidRPr="00EB1F71" w:rsidRDefault="00B05975" w:rsidP="00EB1F71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«Создание условий кадрового обеспечения образовательных организаций» (Приложение № 8 к муниципальной программе).</w:t>
            </w:r>
          </w:p>
          <w:p w:rsidR="00B05975" w:rsidRPr="00EB1F71" w:rsidRDefault="00B05975" w:rsidP="00EB1F71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Обеспечивающая подпрограмма (Приложение № 9 к муниципальной программе).</w:t>
            </w:r>
          </w:p>
        </w:tc>
      </w:tr>
      <w:tr w:rsidR="00B05975" w:rsidRPr="00EB1F71" w:rsidTr="00B8618A">
        <w:tc>
          <w:tcPr>
            <w:tcW w:w="2410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Сроки реализации муниципальной программы</w:t>
            </w:r>
          </w:p>
        </w:tc>
        <w:tc>
          <w:tcPr>
            <w:tcW w:w="13041" w:type="dxa"/>
            <w:gridSpan w:val="5"/>
          </w:tcPr>
          <w:p w:rsidR="00B05975" w:rsidRPr="00EB1F71" w:rsidRDefault="00B05975" w:rsidP="00EB1F71">
            <w:pPr>
              <w:suppressAutoHyphens/>
              <w:spacing w:after="0" w:line="240" w:lineRule="auto"/>
              <w:ind w:left="55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2019-2021 годы</w:t>
            </w:r>
          </w:p>
        </w:tc>
      </w:tr>
      <w:tr w:rsidR="00B05975" w:rsidRPr="00EB1F71" w:rsidTr="00B8618A">
        <w:trPr>
          <w:trHeight w:val="280"/>
        </w:trPr>
        <w:tc>
          <w:tcPr>
            <w:tcW w:w="2410" w:type="dxa"/>
            <w:vMerge w:val="restart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Объемы и источники финансирования</w:t>
            </w:r>
          </w:p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52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ind w:left="55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Источники финансирования</w:t>
            </w:r>
          </w:p>
        </w:tc>
        <w:tc>
          <w:tcPr>
            <w:tcW w:w="1843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ind w:left="55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  <w:r w:rsidR="00EB1F7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(тыс. руб.)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70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275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</w:tr>
      <w:tr w:rsidR="00B05975" w:rsidRPr="00EB1F71" w:rsidTr="00B8618A">
        <w:trPr>
          <w:trHeight w:val="196"/>
        </w:trPr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52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Федеральный бюджет (по согласованию)</w:t>
            </w:r>
          </w:p>
        </w:tc>
        <w:tc>
          <w:tcPr>
            <w:tcW w:w="1843" w:type="dxa"/>
            <w:vAlign w:val="center"/>
          </w:tcPr>
          <w:p w:rsidR="00B05975" w:rsidRPr="00EB1F71" w:rsidRDefault="002E0178" w:rsidP="00561EE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16 847,34133</w:t>
            </w:r>
          </w:p>
        </w:tc>
        <w:tc>
          <w:tcPr>
            <w:tcW w:w="1701" w:type="dxa"/>
            <w:vAlign w:val="center"/>
          </w:tcPr>
          <w:p w:rsidR="00B05975" w:rsidRPr="00EB1F71" w:rsidRDefault="002E0178" w:rsidP="00561EE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4 037, 94625</w:t>
            </w:r>
          </w:p>
        </w:tc>
        <w:tc>
          <w:tcPr>
            <w:tcW w:w="1701" w:type="dxa"/>
            <w:vAlign w:val="center"/>
          </w:tcPr>
          <w:p w:rsidR="00B05975" w:rsidRPr="00EB1F71" w:rsidRDefault="002E0178" w:rsidP="00561EE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12 809,39508</w:t>
            </w:r>
          </w:p>
        </w:tc>
        <w:tc>
          <w:tcPr>
            <w:tcW w:w="1275" w:type="dxa"/>
            <w:vAlign w:val="center"/>
          </w:tcPr>
          <w:p w:rsidR="00B05975" w:rsidRPr="00EB1F71" w:rsidRDefault="00561EE2" w:rsidP="00561EE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</w:t>
            </w:r>
            <w:r w:rsidR="00EB1F71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521" w:type="dxa"/>
          </w:tcPr>
          <w:p w:rsidR="00B05975" w:rsidRPr="00EB1F71" w:rsidRDefault="00B05975" w:rsidP="00B8618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Областной бюджет </w:t>
            </w:r>
            <w:r w:rsidR="00B8618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(по согласованию)</w:t>
            </w:r>
          </w:p>
        </w:tc>
        <w:tc>
          <w:tcPr>
            <w:tcW w:w="1843" w:type="dxa"/>
            <w:vAlign w:val="center"/>
          </w:tcPr>
          <w:p w:rsidR="00B05975" w:rsidRPr="00EB1F71" w:rsidRDefault="002E0178" w:rsidP="00561EE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968 486,67043</w:t>
            </w:r>
          </w:p>
        </w:tc>
        <w:tc>
          <w:tcPr>
            <w:tcW w:w="1701" w:type="dxa"/>
            <w:vAlign w:val="center"/>
          </w:tcPr>
          <w:p w:rsidR="00B05975" w:rsidRPr="00EB1F71" w:rsidRDefault="002E0178" w:rsidP="00561EE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318 366,12313</w:t>
            </w:r>
          </w:p>
        </w:tc>
        <w:tc>
          <w:tcPr>
            <w:tcW w:w="1701" w:type="dxa"/>
            <w:vAlign w:val="center"/>
          </w:tcPr>
          <w:p w:rsidR="00B05975" w:rsidRPr="00EB1F71" w:rsidRDefault="002E0178" w:rsidP="00561EE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329 890,44730</w:t>
            </w:r>
          </w:p>
        </w:tc>
        <w:tc>
          <w:tcPr>
            <w:tcW w:w="1275" w:type="dxa"/>
            <w:vAlign w:val="center"/>
          </w:tcPr>
          <w:p w:rsidR="00B05975" w:rsidRPr="00EB1F71" w:rsidRDefault="00EB1F71" w:rsidP="00561EE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320 230,1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52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Местный бюджет</w:t>
            </w:r>
          </w:p>
        </w:tc>
        <w:tc>
          <w:tcPr>
            <w:tcW w:w="1843" w:type="dxa"/>
            <w:vAlign w:val="center"/>
          </w:tcPr>
          <w:p w:rsidR="00B05975" w:rsidRPr="00EB1F71" w:rsidRDefault="002E0178" w:rsidP="00561EE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470 153,7044</w:t>
            </w:r>
          </w:p>
        </w:tc>
        <w:tc>
          <w:tcPr>
            <w:tcW w:w="1701" w:type="dxa"/>
            <w:vAlign w:val="center"/>
          </w:tcPr>
          <w:p w:rsidR="00B05975" w:rsidRPr="00EB1F71" w:rsidRDefault="002E0178" w:rsidP="00561EE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166 001,2784</w:t>
            </w:r>
          </w:p>
        </w:tc>
        <w:tc>
          <w:tcPr>
            <w:tcW w:w="1701" w:type="dxa"/>
            <w:vAlign w:val="center"/>
          </w:tcPr>
          <w:p w:rsidR="00B05975" w:rsidRPr="00EB1F71" w:rsidRDefault="002E0178" w:rsidP="00561EE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E0178">
              <w:rPr>
                <w:rFonts w:ascii="Times New Roman" w:hAnsi="Times New Roman"/>
                <w:sz w:val="24"/>
                <w:szCs w:val="24"/>
                <w:lang w:eastAsia="ar-SA"/>
              </w:rPr>
              <w:t>158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2E0178">
              <w:rPr>
                <w:rFonts w:ascii="Times New Roman" w:hAnsi="Times New Roman"/>
                <w:sz w:val="24"/>
                <w:szCs w:val="24"/>
                <w:lang w:eastAsia="ar-SA"/>
              </w:rPr>
              <w:t>160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Pr="002E0178">
              <w:rPr>
                <w:rFonts w:ascii="Times New Roman" w:hAnsi="Times New Roman"/>
                <w:sz w:val="24"/>
                <w:szCs w:val="24"/>
                <w:lang w:eastAsia="ar-SA"/>
              </w:rPr>
              <w:t>426</w:t>
            </w:r>
          </w:p>
        </w:tc>
        <w:tc>
          <w:tcPr>
            <w:tcW w:w="1275" w:type="dxa"/>
            <w:vAlign w:val="center"/>
          </w:tcPr>
          <w:p w:rsidR="00B05975" w:rsidRPr="00EB1F71" w:rsidRDefault="00EB1F71" w:rsidP="00561EE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145 992,0</w:t>
            </w:r>
          </w:p>
        </w:tc>
      </w:tr>
      <w:tr w:rsidR="00B05975" w:rsidRPr="00EB1F71" w:rsidTr="00B8618A">
        <w:tc>
          <w:tcPr>
            <w:tcW w:w="2410" w:type="dxa"/>
            <w:vMerge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521" w:type="dxa"/>
          </w:tcPr>
          <w:p w:rsidR="00B05975" w:rsidRPr="00EB1F71" w:rsidRDefault="002E0178" w:rsidP="002E017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Иные источники</w:t>
            </w:r>
            <w:r w:rsidR="00B05975"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(по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="00B05975"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огласованию)</w:t>
            </w:r>
          </w:p>
        </w:tc>
        <w:tc>
          <w:tcPr>
            <w:tcW w:w="1843" w:type="dxa"/>
            <w:vAlign w:val="center"/>
          </w:tcPr>
          <w:p w:rsidR="00B05975" w:rsidRPr="00EB1F71" w:rsidRDefault="00561EE2" w:rsidP="00561EE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</w:t>
            </w:r>
            <w:r w:rsidR="00EB1F71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701" w:type="dxa"/>
            <w:vAlign w:val="center"/>
          </w:tcPr>
          <w:p w:rsidR="00B05975" w:rsidRPr="00EB1F71" w:rsidRDefault="00561EE2" w:rsidP="00561EE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</w:t>
            </w:r>
            <w:r w:rsidR="00B05975"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701" w:type="dxa"/>
            <w:vAlign w:val="center"/>
          </w:tcPr>
          <w:p w:rsidR="00B05975" w:rsidRPr="00EB1F71" w:rsidRDefault="00561EE2" w:rsidP="00561EE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</w:t>
            </w:r>
            <w:r w:rsidR="00B05975"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5" w:type="dxa"/>
            <w:vAlign w:val="center"/>
          </w:tcPr>
          <w:p w:rsidR="00B05975" w:rsidRPr="00EB1F71" w:rsidRDefault="00561EE2" w:rsidP="00561EE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</w:t>
            </w:r>
            <w:r w:rsidR="00B05975"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</w:tr>
      <w:tr w:rsidR="00B05975" w:rsidRPr="00EB1F71" w:rsidTr="00B8618A">
        <w:tc>
          <w:tcPr>
            <w:tcW w:w="2410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521" w:type="dxa"/>
          </w:tcPr>
          <w:p w:rsidR="00B05975" w:rsidRPr="00EB1F71" w:rsidRDefault="00B05975" w:rsidP="00EB1F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F71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43" w:type="dxa"/>
            <w:vAlign w:val="center"/>
          </w:tcPr>
          <w:p w:rsidR="00B05975" w:rsidRPr="00EB1F71" w:rsidRDefault="002E0178" w:rsidP="00561EE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1 455 487,71616 </w:t>
            </w:r>
          </w:p>
        </w:tc>
        <w:tc>
          <w:tcPr>
            <w:tcW w:w="1701" w:type="dxa"/>
            <w:vAlign w:val="center"/>
          </w:tcPr>
          <w:p w:rsidR="00B05975" w:rsidRPr="00EB1F71" w:rsidRDefault="002E0178" w:rsidP="00561EE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488 405,34778</w:t>
            </w:r>
          </w:p>
        </w:tc>
        <w:tc>
          <w:tcPr>
            <w:tcW w:w="1701" w:type="dxa"/>
            <w:vAlign w:val="center"/>
          </w:tcPr>
          <w:p w:rsidR="00B05975" w:rsidRPr="00EB1F71" w:rsidRDefault="002E0178" w:rsidP="00561EE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500 860,26838</w:t>
            </w:r>
          </w:p>
        </w:tc>
        <w:tc>
          <w:tcPr>
            <w:tcW w:w="1275" w:type="dxa"/>
            <w:vAlign w:val="center"/>
          </w:tcPr>
          <w:p w:rsidR="00B05975" w:rsidRPr="00EB1F71" w:rsidRDefault="00EB1F71" w:rsidP="00561EE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466 222,1</w:t>
            </w:r>
          </w:p>
        </w:tc>
      </w:tr>
    </w:tbl>
    <w:p w:rsidR="00B05975" w:rsidRPr="00221EB4" w:rsidRDefault="00B05975" w:rsidP="00B05975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ar-SA"/>
        </w:rPr>
      </w:pPr>
    </w:p>
    <w:p w:rsidR="00EB1F71" w:rsidRDefault="00EB1F71"/>
    <w:sectPr w:rsidR="00EB1F71" w:rsidSect="00B8618A">
      <w:headerReference w:type="default" r:id="rId7"/>
      <w:pgSz w:w="16838" w:h="11906" w:orient="landscape"/>
      <w:pgMar w:top="1134" w:right="567" w:bottom="567" w:left="794" w:header="709" w:footer="709" w:gutter="0"/>
      <w:pgNumType w:start="6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18A" w:rsidRDefault="00B8618A" w:rsidP="00B8618A">
      <w:pPr>
        <w:spacing w:after="0" w:line="240" w:lineRule="auto"/>
      </w:pPr>
      <w:r>
        <w:separator/>
      </w:r>
    </w:p>
  </w:endnote>
  <w:endnote w:type="continuationSeparator" w:id="1">
    <w:p w:rsidR="00B8618A" w:rsidRDefault="00B8618A" w:rsidP="00B86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18A" w:rsidRDefault="00B8618A" w:rsidP="00B8618A">
      <w:pPr>
        <w:spacing w:after="0" w:line="240" w:lineRule="auto"/>
      </w:pPr>
      <w:r>
        <w:separator/>
      </w:r>
    </w:p>
  </w:footnote>
  <w:footnote w:type="continuationSeparator" w:id="1">
    <w:p w:rsidR="00B8618A" w:rsidRDefault="00B8618A" w:rsidP="00B86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0"/>
        <w:szCs w:val="20"/>
      </w:rPr>
      <w:id w:val="179558297"/>
      <w:docPartObj>
        <w:docPartGallery w:val="Page Numbers (Top of Page)"/>
        <w:docPartUnique/>
      </w:docPartObj>
    </w:sdtPr>
    <w:sdtContent>
      <w:p w:rsidR="00B8618A" w:rsidRPr="005F4997" w:rsidRDefault="00740D3D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5F4997">
          <w:rPr>
            <w:rFonts w:ascii="Times New Roman" w:hAnsi="Times New Roman"/>
            <w:sz w:val="20"/>
            <w:szCs w:val="20"/>
          </w:rPr>
          <w:fldChar w:fldCharType="begin"/>
        </w:r>
        <w:r w:rsidRPr="005F4997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5F4997">
          <w:rPr>
            <w:rFonts w:ascii="Times New Roman" w:hAnsi="Times New Roman"/>
            <w:sz w:val="20"/>
            <w:szCs w:val="20"/>
          </w:rPr>
          <w:fldChar w:fldCharType="separate"/>
        </w:r>
        <w:r w:rsidR="005F4997">
          <w:rPr>
            <w:rFonts w:ascii="Times New Roman" w:hAnsi="Times New Roman"/>
            <w:noProof/>
            <w:sz w:val="20"/>
            <w:szCs w:val="20"/>
          </w:rPr>
          <w:t>69</w:t>
        </w:r>
        <w:r w:rsidRPr="005F4997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B8618A" w:rsidRDefault="00B8618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844F5"/>
    <w:multiLevelType w:val="hybridMultilevel"/>
    <w:tmpl w:val="59543E1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7212654C"/>
    <w:multiLevelType w:val="hybridMultilevel"/>
    <w:tmpl w:val="1194C64A"/>
    <w:lvl w:ilvl="0" w:tplc="0419000F">
      <w:start w:val="1"/>
      <w:numFmt w:val="decimal"/>
      <w:lvlText w:val="%1."/>
      <w:lvlJc w:val="left"/>
      <w:pPr>
        <w:ind w:left="41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1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0279"/>
    <w:rsid w:val="001A2AEA"/>
    <w:rsid w:val="0028525A"/>
    <w:rsid w:val="002E0178"/>
    <w:rsid w:val="00561EE2"/>
    <w:rsid w:val="005F4997"/>
    <w:rsid w:val="006C3BBB"/>
    <w:rsid w:val="006E2DD9"/>
    <w:rsid w:val="00740D3D"/>
    <w:rsid w:val="00850279"/>
    <w:rsid w:val="00877A8F"/>
    <w:rsid w:val="00B05975"/>
    <w:rsid w:val="00B8618A"/>
    <w:rsid w:val="00EB1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97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B05975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B86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618A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B86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8618A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97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B0597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Е.А. Ёрш</dc:creator>
  <cp:keywords/>
  <dc:description/>
  <cp:lastModifiedBy>But</cp:lastModifiedBy>
  <cp:revision>6</cp:revision>
  <dcterms:created xsi:type="dcterms:W3CDTF">2020-10-06T09:53:00Z</dcterms:created>
  <dcterms:modified xsi:type="dcterms:W3CDTF">2020-10-07T03:26:00Z</dcterms:modified>
</cp:coreProperties>
</file>